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9BF" w:rsidRPr="005219BF" w:rsidRDefault="005219BF" w:rsidP="005219BF">
      <w:pPr>
        <w:jc w:val="center"/>
        <w:rPr>
          <w:rFonts w:ascii="Times New Roman" w:hAnsi="Times New Roman" w:cs="Times New Roman"/>
          <w:b/>
          <w:shd w:val="clear" w:color="auto" w:fill="FEFEFF"/>
        </w:rPr>
      </w:pPr>
      <w:bookmarkStart w:id="0" w:name="_GoBack"/>
      <w:bookmarkEnd w:id="0"/>
      <w:r>
        <w:rPr>
          <w:rFonts w:ascii="Times New Roman" w:hAnsi="Times New Roman" w:cs="Times New Roman"/>
          <w:b/>
          <w:shd w:val="clear" w:color="auto" w:fill="FEFEFF"/>
        </w:rPr>
        <w:t>A</w:t>
      </w:r>
      <w:r w:rsidR="00B53231">
        <w:rPr>
          <w:rFonts w:ascii="Times New Roman" w:hAnsi="Times New Roman" w:cs="Times New Roman"/>
          <w:b/>
          <w:shd w:val="clear" w:color="auto" w:fill="FEFEFF"/>
        </w:rPr>
        <w:t>rtí</w:t>
      </w:r>
      <w:r>
        <w:rPr>
          <w:rFonts w:ascii="Times New Roman" w:hAnsi="Times New Roman" w:cs="Times New Roman"/>
          <w:b/>
          <w:shd w:val="clear" w:color="auto" w:fill="FEFEFF"/>
        </w:rPr>
        <w:t xml:space="preserve">culo </w:t>
      </w:r>
    </w:p>
    <w:p w:rsidR="00C06965" w:rsidRPr="009A5801" w:rsidRDefault="00C06965">
      <w:pPr>
        <w:rPr>
          <w:rFonts w:ascii="Times New Roman" w:hAnsi="Times New Roman" w:cs="Times New Roman"/>
          <w:lang w:val="es-ES_tradnl"/>
        </w:rPr>
      </w:pPr>
      <w:r w:rsidRPr="009A5801">
        <w:rPr>
          <w:rFonts w:ascii="Times New Roman" w:hAnsi="Times New Roman" w:cs="Times New Roman"/>
          <w:shd w:val="clear" w:color="auto" w:fill="FEFEFF"/>
        </w:rPr>
        <w:t>El petróleo es una de las principales materias primas o </w:t>
      </w:r>
      <w:r w:rsidRPr="009A5801">
        <w:rPr>
          <w:rStyle w:val="nfasis"/>
          <w:rFonts w:ascii="Times New Roman" w:hAnsi="Times New Roman" w:cs="Times New Roman"/>
          <w:shd w:val="clear" w:color="auto" w:fill="FEFEFF"/>
        </w:rPr>
        <w:t>commodities</w:t>
      </w:r>
      <w:r w:rsidRPr="009A5801">
        <w:rPr>
          <w:rFonts w:ascii="Times New Roman" w:hAnsi="Times New Roman" w:cs="Times New Roman"/>
          <w:shd w:val="clear" w:color="auto" w:fill="FEFEFF"/>
        </w:rPr>
        <w:t> del mundo, y su precio oscila al vaivén de las tendencias económicas, geopolíticas y de especulación financiera internacional. Al mismo tiempo, el precio del petróleo</w:t>
      </w:r>
      <w:r w:rsidR="009A5801" w:rsidRPr="009A5801">
        <w:rPr>
          <w:rFonts w:ascii="Times New Roman" w:hAnsi="Times New Roman" w:cs="Times New Roman"/>
          <w:shd w:val="clear" w:color="auto" w:fill="FEFEFF"/>
        </w:rPr>
        <w:t xml:space="preserve"> es un</w:t>
      </w:r>
      <w:r w:rsidRPr="009A5801">
        <w:rPr>
          <w:rFonts w:ascii="Times New Roman" w:hAnsi="Times New Roman" w:cs="Times New Roman"/>
          <w:shd w:val="clear" w:color="auto" w:fill="FEFEFF"/>
        </w:rPr>
        <w:t xml:space="preserve"> determinante fundamental para el crecimiento de algunas economías que </w:t>
      </w:r>
      <w:r w:rsidRPr="009A5801">
        <w:rPr>
          <w:rFonts w:ascii="Times New Roman" w:hAnsi="Times New Roman" w:cs="Times New Roman"/>
          <w:lang w:val="es-ES_tradnl"/>
        </w:rPr>
        <w:t>dependen al menos en un 10% de los ingresos del petróleo. Este es el caso de Venezuela, un jugador importa</w:t>
      </w:r>
      <w:r w:rsidR="00AA5F31" w:rsidRPr="009A5801">
        <w:rPr>
          <w:rFonts w:ascii="Times New Roman" w:hAnsi="Times New Roman" w:cs="Times New Roman"/>
          <w:lang w:val="es-ES_tradnl"/>
        </w:rPr>
        <w:t>n</w:t>
      </w:r>
      <w:r w:rsidR="00E34A11" w:rsidRPr="009A5801">
        <w:rPr>
          <w:rFonts w:ascii="Times New Roman" w:hAnsi="Times New Roman" w:cs="Times New Roman"/>
          <w:lang w:val="es-ES_tradnl"/>
        </w:rPr>
        <w:t>te para la industria petrolera, el cual cuenta según datos de Business Insider, con las mayores reservas de petróleo en el mundo (</w:t>
      </w:r>
      <w:r w:rsidR="00911864" w:rsidRPr="009A5801">
        <w:rPr>
          <w:rFonts w:ascii="Times New Roman" w:hAnsi="Times New Roman" w:cs="Times New Roman"/>
          <w:lang w:val="es-ES_tradnl"/>
        </w:rPr>
        <w:t>3</w:t>
      </w:r>
      <w:r w:rsidR="00E34A11" w:rsidRPr="009A5801">
        <w:rPr>
          <w:rFonts w:ascii="Times New Roman" w:hAnsi="Times New Roman" w:cs="Times New Roman"/>
          <w:shd w:val="clear" w:color="auto" w:fill="FEFEFE"/>
        </w:rPr>
        <w:t xml:space="preserve">00.900.000.000 barriles de petróleo a extraer). No obstante, de acuerdo a la Agencia Internacional de Energía, se estima que el país ha venido reduciendo su producción en 14.000 barriles, caída que ha sido compensada </w:t>
      </w:r>
      <w:r w:rsidR="009F7FDC" w:rsidRPr="009A5801">
        <w:rPr>
          <w:rFonts w:ascii="Times New Roman" w:hAnsi="Times New Roman" w:cs="Times New Roman"/>
          <w:shd w:val="clear" w:color="auto" w:fill="FEFEFE"/>
        </w:rPr>
        <w:t>por otros países de la OPEP</w:t>
      </w:r>
      <w:r w:rsidR="00E34A11" w:rsidRPr="009A5801">
        <w:rPr>
          <w:rFonts w:ascii="Times New Roman" w:hAnsi="Times New Roman" w:cs="Times New Roman"/>
          <w:shd w:val="clear" w:color="auto" w:fill="FEFEFE"/>
        </w:rPr>
        <w:t xml:space="preserve"> y que ha gener</w:t>
      </w:r>
      <w:r w:rsidR="009F7FDC" w:rsidRPr="009A5801">
        <w:rPr>
          <w:rFonts w:ascii="Times New Roman" w:hAnsi="Times New Roman" w:cs="Times New Roman"/>
          <w:shd w:val="clear" w:color="auto" w:fill="FEFEFE"/>
        </w:rPr>
        <w:t xml:space="preserve">ado asimetrías en el suministro, </w:t>
      </w:r>
      <w:r w:rsidR="00E34A11" w:rsidRPr="009A5801">
        <w:rPr>
          <w:rFonts w:ascii="Times New Roman" w:hAnsi="Times New Roman" w:cs="Times New Roman"/>
          <w:shd w:val="clear" w:color="auto" w:fill="FEFEFE"/>
        </w:rPr>
        <w:t>y como consecuencia</w:t>
      </w:r>
      <w:r w:rsidR="009F7FDC" w:rsidRPr="009A5801">
        <w:rPr>
          <w:rFonts w:ascii="Times New Roman" w:hAnsi="Times New Roman" w:cs="Times New Roman"/>
          <w:shd w:val="clear" w:color="auto" w:fill="FEFEFE"/>
        </w:rPr>
        <w:t>,</w:t>
      </w:r>
      <w:r w:rsidR="00E34A11" w:rsidRPr="009A5801">
        <w:rPr>
          <w:rFonts w:ascii="Times New Roman" w:hAnsi="Times New Roman" w:cs="Times New Roman"/>
          <w:shd w:val="clear" w:color="auto" w:fill="FEFEFE"/>
        </w:rPr>
        <w:t xml:space="preserve"> </w:t>
      </w:r>
      <w:r w:rsidR="009F7FDC" w:rsidRPr="009A5801">
        <w:rPr>
          <w:rFonts w:ascii="Times New Roman" w:hAnsi="Times New Roman" w:cs="Times New Roman"/>
          <w:shd w:val="clear" w:color="auto" w:fill="FEFEFE"/>
        </w:rPr>
        <w:t xml:space="preserve">ha </w:t>
      </w:r>
      <w:r w:rsidR="00E34A11" w:rsidRPr="009A5801">
        <w:rPr>
          <w:rFonts w:ascii="Times New Roman" w:hAnsi="Times New Roman" w:cs="Times New Roman"/>
          <w:shd w:val="clear" w:color="auto" w:fill="FEFEFE"/>
        </w:rPr>
        <w:t xml:space="preserve">incrementado la volatilidad del precio del petróleo. </w:t>
      </w:r>
    </w:p>
    <w:p w:rsidR="00F348DB" w:rsidRPr="009A5801" w:rsidRDefault="00E34A11" w:rsidP="00F348DB">
      <w:pPr>
        <w:rPr>
          <w:rFonts w:ascii="Times New Roman" w:eastAsia="Times New Roman" w:hAnsi="Times New Roman" w:cs="Times New Roman"/>
          <w:iCs/>
          <w:lang w:eastAsia="es-MX"/>
        </w:rPr>
      </w:pPr>
      <w:r w:rsidRPr="009A5801">
        <w:rPr>
          <w:rFonts w:ascii="Times New Roman" w:hAnsi="Times New Roman" w:cs="Times New Roman"/>
          <w:shd w:val="clear" w:color="auto" w:fill="FEFEFE"/>
        </w:rPr>
        <w:t>Ante esta situación de incertidumbre y volatilidad en los precios del barril del crudo, el gobierno</w:t>
      </w:r>
      <w:r w:rsidR="00D85FC9" w:rsidRPr="009A5801">
        <w:rPr>
          <w:rFonts w:ascii="Times New Roman" w:hAnsi="Times New Roman" w:cs="Times New Roman"/>
          <w:shd w:val="clear" w:color="auto" w:fill="FEFEFE"/>
        </w:rPr>
        <w:t xml:space="preserve"> que </w:t>
      </w:r>
      <w:r w:rsidR="00D85FC9" w:rsidRPr="009A5801">
        <w:rPr>
          <w:rFonts w:ascii="Times New Roman" w:hAnsi="Times New Roman" w:cs="Times New Roman"/>
        </w:rPr>
        <w:t>acumula en los últimos cuatro años una caída abismal del PIB cercana a 40% ha decidido buscar su salvación en el Arco minero del Orinoco</w:t>
      </w:r>
      <w:r w:rsidR="00F348DB" w:rsidRPr="009A5801">
        <w:rPr>
          <w:rFonts w:ascii="Times New Roman" w:hAnsi="Times New Roman" w:cs="Times New Roman"/>
        </w:rPr>
        <w:t xml:space="preserve">. </w:t>
      </w:r>
      <w:r w:rsidR="00F348DB" w:rsidRPr="009A5801">
        <w:rPr>
          <w:rFonts w:ascii="Times New Roman" w:eastAsia="Times New Roman" w:hAnsi="Times New Roman" w:cs="Times New Roman"/>
          <w:iCs/>
          <w:lang w:eastAsia="es-MX"/>
        </w:rPr>
        <w:t>Con una hiperinflación de alrededor del 2700 % en el 2017</w:t>
      </w:r>
      <w:r w:rsidR="00FF640B" w:rsidRPr="009A5801">
        <w:rPr>
          <w:rFonts w:ascii="Times New Roman" w:eastAsia="Times New Roman" w:hAnsi="Times New Roman" w:cs="Times New Roman"/>
          <w:iCs/>
          <w:lang w:eastAsia="es-MX"/>
        </w:rPr>
        <w:t xml:space="preserve"> (FMI 2017)</w:t>
      </w:r>
      <w:r w:rsidR="00F348DB" w:rsidRPr="009A5801">
        <w:rPr>
          <w:rFonts w:ascii="Times New Roman" w:eastAsia="Times New Roman" w:hAnsi="Times New Roman" w:cs="Times New Roman"/>
          <w:iCs/>
          <w:lang w:eastAsia="es-MX"/>
        </w:rPr>
        <w:t xml:space="preserve">, el presidente Nicolás Maduro está desesperado por encontrar soluciones a una crisis económica. Muchas de estas soluciones, incluidos el Arco Minero podrían terminar liquidando la riqueza mineral, al mismo tiempo que devastarían territorios indígenas y el medioambiente, pero entonces, </w:t>
      </w:r>
      <w:r w:rsidR="00A9107D" w:rsidRPr="009A5801">
        <w:rPr>
          <w:rFonts w:ascii="Times New Roman" w:eastAsia="Times New Roman" w:hAnsi="Times New Roman" w:cs="Times New Roman"/>
          <w:iCs/>
          <w:lang w:eastAsia="es-MX"/>
        </w:rPr>
        <w:t>¿Por qué la extracción de Oro, Coltan y diamante figuran como la solución con mayor utilidad para salir de la crisis?</w:t>
      </w:r>
    </w:p>
    <w:p w:rsidR="00A9107D" w:rsidRPr="009A5801" w:rsidRDefault="00A9107D" w:rsidP="00A9107D">
      <w:pPr>
        <w:rPr>
          <w:rFonts w:ascii="Times New Roman" w:hAnsi="Times New Roman" w:cs="Times New Roman"/>
        </w:rPr>
      </w:pPr>
      <w:r w:rsidRPr="009A5801">
        <w:rPr>
          <w:rFonts w:ascii="Times New Roman" w:eastAsia="Times New Roman" w:hAnsi="Times New Roman" w:cs="Times New Roman"/>
          <w:iCs/>
          <w:lang w:eastAsia="es-MX"/>
        </w:rPr>
        <w:t xml:space="preserve">Venezuela es un país </w:t>
      </w:r>
      <w:r w:rsidRPr="009A5801">
        <w:rPr>
          <w:rFonts w:ascii="Times New Roman" w:hAnsi="Times New Roman" w:cs="Times New Roman"/>
        </w:rPr>
        <w:t>que obtiene del petróleo el 96% de las divisas con las que paga por la importación de muchos de los bienes que consume, incluyendo gran cantidad de alimentos. Al principio parece ser que la ganancia del petróleo es positiva, hasta que se tiene en cuenta que gran parte de las rentas de ese porcentaje se utilizan para pagar deuda externa. Entonces cuando el precio del petróleo se desplomó en 2014, el país cayó en crisis económica</w:t>
      </w:r>
      <w:r w:rsidR="00F70B43" w:rsidRPr="009A5801">
        <w:rPr>
          <w:rFonts w:ascii="Times New Roman" w:hAnsi="Times New Roman" w:cs="Times New Roman"/>
        </w:rPr>
        <w:t xml:space="preserve"> debido a la deficiente gestión macroeconómica y una administración frágil de los ingresos petroleros</w:t>
      </w:r>
      <w:r w:rsidR="009F7FDC" w:rsidRPr="009A5801">
        <w:rPr>
          <w:rFonts w:ascii="Times New Roman" w:hAnsi="Times New Roman" w:cs="Times New Roman"/>
        </w:rPr>
        <w:t xml:space="preserve">. Esto condujo </w:t>
      </w:r>
      <w:r w:rsidR="00F70B43" w:rsidRPr="009A5801">
        <w:rPr>
          <w:rFonts w:ascii="Times New Roman" w:hAnsi="Times New Roman" w:cs="Times New Roman"/>
        </w:rPr>
        <w:t>a la economía venezolana a un grave problema de escasez de divisas y a una situación en la que se hacía impos</w:t>
      </w:r>
      <w:r w:rsidR="00674848" w:rsidRPr="009A5801">
        <w:rPr>
          <w:rFonts w:ascii="Times New Roman" w:hAnsi="Times New Roman" w:cs="Times New Roman"/>
        </w:rPr>
        <w:t>ible, con el régimen cambiario fijo imperante</w:t>
      </w:r>
      <w:r w:rsidR="00F70B43" w:rsidRPr="009A5801">
        <w:rPr>
          <w:rFonts w:ascii="Times New Roman" w:hAnsi="Times New Roman" w:cs="Times New Roman"/>
        </w:rPr>
        <w:t xml:space="preserve">, cumplir simultáneamente con las obligaciones externas y con las importaciones requeridas para mantener </w:t>
      </w:r>
      <w:r w:rsidR="00674848" w:rsidRPr="009A5801">
        <w:rPr>
          <w:rFonts w:ascii="Times New Roman" w:hAnsi="Times New Roman" w:cs="Times New Roman"/>
        </w:rPr>
        <w:t>el flujo normal de la economía.</w:t>
      </w:r>
    </w:p>
    <w:p w:rsidR="002C1792" w:rsidRPr="009A5801" w:rsidRDefault="00674848" w:rsidP="002C1792">
      <w:pPr>
        <w:rPr>
          <w:rFonts w:ascii="Times New Roman" w:hAnsi="Times New Roman" w:cs="Times New Roman"/>
          <w:shd w:val="clear" w:color="auto" w:fill="FFFFFF"/>
        </w:rPr>
      </w:pPr>
      <w:r w:rsidRPr="009A5801">
        <w:rPr>
          <w:rFonts w:ascii="Times New Roman" w:hAnsi="Times New Roman" w:cs="Times New Roman"/>
        </w:rPr>
        <w:t xml:space="preserve"> En </w:t>
      </w:r>
      <w:r w:rsidR="005219BF">
        <w:rPr>
          <w:rFonts w:ascii="Times New Roman" w:hAnsi="Times New Roman" w:cs="Times New Roman"/>
        </w:rPr>
        <w:t>consecuencia</w:t>
      </w:r>
      <w:r w:rsidRPr="009A5801">
        <w:rPr>
          <w:rFonts w:ascii="Times New Roman" w:hAnsi="Times New Roman" w:cs="Times New Roman"/>
        </w:rPr>
        <w:t xml:space="preserve"> a lo anterior, </w:t>
      </w:r>
      <w:r w:rsidRPr="009A5801">
        <w:rPr>
          <w:rFonts w:ascii="Times New Roman" w:hAnsi="Times New Roman" w:cs="Times New Roman"/>
          <w:shd w:val="clear" w:color="auto" w:fill="FFFFFF"/>
        </w:rPr>
        <w:t>los pl</w:t>
      </w:r>
      <w:r w:rsidR="007C64C6" w:rsidRPr="009A5801">
        <w:rPr>
          <w:rFonts w:ascii="Times New Roman" w:hAnsi="Times New Roman" w:cs="Times New Roman"/>
          <w:shd w:val="clear" w:color="auto" w:fill="FFFFFF"/>
        </w:rPr>
        <w:t xml:space="preserve">anes del Arco Minero de Maduro se presentan como una solución complementaria a la </w:t>
      </w:r>
      <w:r w:rsidR="00825D17" w:rsidRPr="009A5801">
        <w:rPr>
          <w:rFonts w:ascii="Times New Roman" w:hAnsi="Times New Roman" w:cs="Times New Roman"/>
          <w:shd w:val="clear" w:color="auto" w:fill="FFFFFF"/>
        </w:rPr>
        <w:t xml:space="preserve">disminución de la producción petrolera y consecuente crisis, </w:t>
      </w:r>
      <w:r w:rsidR="008B3E2E" w:rsidRPr="009A5801">
        <w:rPr>
          <w:rFonts w:ascii="Times New Roman" w:hAnsi="Times New Roman" w:cs="Times New Roman"/>
          <w:shd w:val="clear" w:color="auto" w:fill="FFFFFF"/>
        </w:rPr>
        <w:t>a partir de tres</w:t>
      </w:r>
      <w:r w:rsidR="007C64C6" w:rsidRPr="009A5801">
        <w:rPr>
          <w:rFonts w:ascii="Times New Roman" w:hAnsi="Times New Roman" w:cs="Times New Roman"/>
          <w:shd w:val="clear" w:color="auto" w:fill="FFFFFF"/>
        </w:rPr>
        <w:t xml:space="preserve"> puntos: primero, el atenuante de la volatilidad</w:t>
      </w:r>
      <w:r w:rsidR="008B3E2E" w:rsidRPr="009A5801">
        <w:rPr>
          <w:rFonts w:ascii="Times New Roman" w:hAnsi="Times New Roman" w:cs="Times New Roman"/>
          <w:shd w:val="clear" w:color="auto" w:fill="FFFFFF"/>
        </w:rPr>
        <w:t>;</w:t>
      </w:r>
      <w:r w:rsidR="007C64C6" w:rsidRPr="009A5801">
        <w:rPr>
          <w:rFonts w:ascii="Times New Roman" w:hAnsi="Times New Roman" w:cs="Times New Roman"/>
          <w:shd w:val="clear" w:color="auto" w:fill="FFFFFF"/>
        </w:rPr>
        <w:t xml:space="preserve"> segundo, </w:t>
      </w:r>
      <w:r w:rsidR="008B3E2E" w:rsidRPr="009A5801">
        <w:rPr>
          <w:rFonts w:ascii="Times New Roman" w:hAnsi="Times New Roman" w:cs="Times New Roman"/>
          <w:shd w:val="clear" w:color="auto" w:fill="FFFFFF"/>
        </w:rPr>
        <w:t xml:space="preserve">la autonomía fiscal y </w:t>
      </w:r>
      <w:r w:rsidR="00825D17" w:rsidRPr="009A5801">
        <w:rPr>
          <w:rFonts w:ascii="Times New Roman" w:hAnsi="Times New Roman" w:cs="Times New Roman"/>
          <w:shd w:val="clear" w:color="auto" w:fill="FFFFFF"/>
        </w:rPr>
        <w:t>tercero, el</w:t>
      </w:r>
      <w:r w:rsidR="008B3E2E" w:rsidRPr="009A5801">
        <w:rPr>
          <w:rFonts w:ascii="Times New Roman" w:hAnsi="Times New Roman" w:cs="Times New Roman"/>
          <w:shd w:val="clear" w:color="auto" w:fill="FFFFFF"/>
        </w:rPr>
        <w:t xml:space="preserve"> efecto de cooptación civil y militar. </w:t>
      </w:r>
      <w:r w:rsidR="00825D17" w:rsidRPr="009A5801">
        <w:rPr>
          <w:rFonts w:ascii="Times New Roman" w:hAnsi="Times New Roman" w:cs="Times New Roman"/>
          <w:shd w:val="clear" w:color="auto" w:fill="FFFFFF"/>
        </w:rPr>
        <w:t>En primer lugar, la vo</w:t>
      </w:r>
      <w:r w:rsidR="009F7FDC" w:rsidRPr="009A5801">
        <w:rPr>
          <w:rFonts w:ascii="Times New Roman" w:hAnsi="Times New Roman" w:cs="Times New Roman"/>
          <w:shd w:val="clear" w:color="auto" w:fill="FFFFFF"/>
        </w:rPr>
        <w:t>latilidad en el PIB es un factor determinante del crecimiento y la estabilidad económica</w:t>
      </w:r>
      <w:r w:rsidR="002C1792" w:rsidRPr="009A5801">
        <w:rPr>
          <w:rFonts w:ascii="Times New Roman" w:hAnsi="Times New Roman" w:cs="Times New Roman"/>
          <w:shd w:val="clear" w:color="auto" w:fill="FFFFFF"/>
        </w:rPr>
        <w:t xml:space="preserve"> en tanto</w:t>
      </w:r>
      <w:r w:rsidR="00FF640B" w:rsidRPr="009A5801">
        <w:rPr>
          <w:rFonts w:ascii="Times New Roman" w:hAnsi="Times New Roman" w:cs="Times New Roman"/>
          <w:shd w:val="clear" w:color="auto" w:fill="FFFFFF"/>
          <w:lang w:val="es-ES"/>
        </w:rPr>
        <w:t xml:space="preserve"> </w:t>
      </w:r>
      <w:r w:rsidR="002C1792" w:rsidRPr="009A5801">
        <w:rPr>
          <w:rFonts w:ascii="Times New Roman" w:hAnsi="Times New Roman" w:cs="Times New Roman"/>
          <w:shd w:val="clear" w:color="auto" w:fill="FFFFFF"/>
          <w:lang w:val="es-ES"/>
        </w:rPr>
        <w:t xml:space="preserve">las decisiones </w:t>
      </w:r>
      <w:r w:rsidR="002C1792" w:rsidRPr="009A5801">
        <w:rPr>
          <w:rFonts w:ascii="Times New Roman" w:hAnsi="Times New Roman" w:cs="Times New Roman"/>
          <w:shd w:val="clear" w:color="auto" w:fill="FFFFFF"/>
          <w:lang w:val="es-CO"/>
        </w:rPr>
        <w:t>de inversión dependen de los</w:t>
      </w:r>
      <w:r w:rsidR="005219BF">
        <w:rPr>
          <w:rFonts w:ascii="Times New Roman" w:hAnsi="Times New Roman" w:cs="Times New Roman"/>
          <w:shd w:val="clear" w:color="auto" w:fill="FFFFFF"/>
          <w:lang w:val="es-CO"/>
        </w:rPr>
        <w:t xml:space="preserve"> retornos esperados y el riesgo;</w:t>
      </w:r>
      <w:r w:rsidR="002C1792" w:rsidRPr="009A5801">
        <w:rPr>
          <w:rFonts w:ascii="Times New Roman" w:hAnsi="Times New Roman" w:cs="Times New Roman"/>
          <w:shd w:val="clear" w:color="auto" w:fill="FFFFFF"/>
          <w:lang w:val="es-CO"/>
        </w:rPr>
        <w:t xml:space="preserve"> entonces a un aumento en el riesgo, se dará menor inversión y mayor sesgo en contra de las inversiones que se recuperan en plazos largos. Esta aversión a la inversión destruye el capital organizacional (firmas </w:t>
      </w:r>
      <w:r w:rsidR="009A5801">
        <w:rPr>
          <w:rFonts w:ascii="Times New Roman" w:hAnsi="Times New Roman" w:cs="Times New Roman"/>
          <w:shd w:val="clear" w:color="auto" w:fill="FFFFFF"/>
          <w:lang w:val="es-CO"/>
        </w:rPr>
        <w:t xml:space="preserve">viables se van a la bancarrota) </w:t>
      </w:r>
      <w:r w:rsidR="002C1792" w:rsidRPr="009A5801">
        <w:rPr>
          <w:rFonts w:ascii="Times New Roman" w:hAnsi="Times New Roman" w:cs="Times New Roman"/>
          <w:shd w:val="clear" w:color="auto" w:fill="FFFFFF"/>
          <w:lang w:val="es-CO"/>
        </w:rPr>
        <w:t>y reducen el capital humano generando migraciones permanentes. Por consiguiente, frente a la progresiva destrucción del capit</w:t>
      </w:r>
      <w:r w:rsidR="005219BF">
        <w:rPr>
          <w:rFonts w:ascii="Times New Roman" w:hAnsi="Times New Roman" w:cs="Times New Roman"/>
          <w:shd w:val="clear" w:color="auto" w:fill="FFFFFF"/>
          <w:lang w:val="es-CO"/>
        </w:rPr>
        <w:t>al organizacional, Maduro decidió</w:t>
      </w:r>
      <w:r w:rsidR="002C1792" w:rsidRPr="009A5801">
        <w:rPr>
          <w:rFonts w:ascii="Times New Roman" w:hAnsi="Times New Roman" w:cs="Times New Roman"/>
          <w:shd w:val="clear" w:color="auto" w:fill="FFFFFF"/>
          <w:lang w:val="es-CO"/>
        </w:rPr>
        <w:t xml:space="preserve"> complementar</w:t>
      </w:r>
      <w:r w:rsidR="002C1792" w:rsidRPr="009A5801">
        <w:rPr>
          <w:rFonts w:ascii="Times New Roman" w:hAnsi="Times New Roman" w:cs="Times New Roman"/>
          <w:shd w:val="clear" w:color="auto" w:fill="FFFFFF"/>
        </w:rPr>
        <w:t xml:space="preserve"> la caída de renta petrolera con el aumento de la producción minera, puesto que como se demuestra en las tablas adjuntas la volatilidad de los precios del oro en los últimos veinte años</w:t>
      </w:r>
      <w:r w:rsidR="009A5801">
        <w:rPr>
          <w:rFonts w:ascii="Times New Roman" w:hAnsi="Times New Roman" w:cs="Times New Roman"/>
          <w:shd w:val="clear" w:color="auto" w:fill="FFFFFF"/>
        </w:rPr>
        <w:t>,</w:t>
      </w:r>
      <w:r w:rsidR="002C1792" w:rsidRPr="009A5801">
        <w:rPr>
          <w:rFonts w:ascii="Times New Roman" w:hAnsi="Times New Roman" w:cs="Times New Roman"/>
          <w:shd w:val="clear" w:color="auto" w:fill="FFFFFF"/>
        </w:rPr>
        <w:t xml:space="preserve"> presenta una volatilidad menor</w:t>
      </w:r>
      <w:r w:rsidR="00F11A1A" w:rsidRPr="009A5801">
        <w:rPr>
          <w:rFonts w:ascii="Times New Roman" w:hAnsi="Times New Roman" w:cs="Times New Roman"/>
          <w:shd w:val="clear" w:color="auto" w:fill="FFFFFF"/>
        </w:rPr>
        <w:t xml:space="preserve"> en 3,06 puntos porcentuales al precio del petróleo según el indicador Brent; y 0.91%</w:t>
      </w:r>
      <w:r w:rsidR="002C1792" w:rsidRPr="009A5801">
        <w:rPr>
          <w:rFonts w:ascii="Times New Roman" w:hAnsi="Times New Roman" w:cs="Times New Roman"/>
          <w:shd w:val="clear" w:color="auto" w:fill="FFFFFF"/>
        </w:rPr>
        <w:t xml:space="preserve"> a los precios del petróleo </w:t>
      </w:r>
      <w:r w:rsidR="00F11A1A" w:rsidRPr="009A5801">
        <w:rPr>
          <w:rFonts w:ascii="Times New Roman" w:hAnsi="Times New Roman" w:cs="Times New Roman"/>
          <w:shd w:val="clear" w:color="auto" w:fill="FFFFFF"/>
        </w:rPr>
        <w:t>de acuerdo al indicador</w:t>
      </w:r>
      <w:r w:rsidR="002C1792" w:rsidRPr="009A5801">
        <w:rPr>
          <w:rFonts w:ascii="Times New Roman" w:hAnsi="Times New Roman" w:cs="Times New Roman"/>
          <w:shd w:val="clear" w:color="auto" w:fill="FFFFFF"/>
        </w:rPr>
        <w:t xml:space="preserve"> WTI.</w:t>
      </w:r>
    </w:p>
    <w:p w:rsidR="0058225C" w:rsidRPr="009A5801" w:rsidRDefault="000A6C0B" w:rsidP="0058225C">
      <w:pPr>
        <w:rPr>
          <w:rFonts w:ascii="Times New Roman" w:hAnsi="Times New Roman" w:cs="Times New Roman"/>
          <w:lang w:val="es-ES"/>
        </w:rPr>
      </w:pPr>
      <w:r w:rsidRPr="009A5801">
        <w:rPr>
          <w:rFonts w:ascii="Times New Roman" w:hAnsi="Times New Roman" w:cs="Times New Roman"/>
          <w:shd w:val="clear" w:color="auto" w:fill="FFFFFF"/>
          <w:lang w:val="es-CO"/>
        </w:rPr>
        <w:t>En un segundo punto, la autonomía fiscal</w:t>
      </w:r>
      <w:r w:rsidR="00A4668F" w:rsidRPr="009A5801">
        <w:rPr>
          <w:rFonts w:ascii="Times New Roman" w:hAnsi="Times New Roman" w:cs="Times New Roman"/>
          <w:shd w:val="clear" w:color="auto" w:fill="FFFFFF"/>
          <w:lang w:val="es-CO"/>
        </w:rPr>
        <w:t xml:space="preserve"> o tributaria</w:t>
      </w:r>
      <w:r w:rsidRPr="009A5801">
        <w:rPr>
          <w:rFonts w:ascii="Times New Roman" w:hAnsi="Times New Roman" w:cs="Times New Roman"/>
          <w:shd w:val="clear" w:color="auto" w:fill="FFFFFF"/>
          <w:lang w:val="es-CO"/>
        </w:rPr>
        <w:t xml:space="preserve"> es otra razón que puede explicar la intención del gobierno venezolano de continuar siendo un Estado rentista a partir de la venta de sus recursos</w:t>
      </w:r>
      <w:r w:rsidRPr="009A5801">
        <w:rPr>
          <w:rFonts w:ascii="Times New Roman" w:hAnsi="Times New Roman" w:cs="Times New Roman"/>
          <w:shd w:val="clear" w:color="auto" w:fill="FFFFFF"/>
        </w:rPr>
        <w:t xml:space="preserve"> naturales a empresas multinacionales y a otros países. Con autonomía fiscal se hace referencia a la característica de los</w:t>
      </w:r>
      <w:r w:rsidRPr="009A5801">
        <w:rPr>
          <w:rFonts w:ascii="Times New Roman" w:hAnsi="Times New Roman" w:cs="Times New Roman"/>
          <w:i/>
          <w:shd w:val="clear" w:color="auto" w:fill="FFFFFF"/>
        </w:rPr>
        <w:t xml:space="preserve"> commodities</w:t>
      </w:r>
      <w:r w:rsidRPr="009A5801">
        <w:rPr>
          <w:rFonts w:ascii="Times New Roman" w:hAnsi="Times New Roman" w:cs="Times New Roman"/>
          <w:shd w:val="clear" w:color="auto" w:fill="FFFFFF"/>
        </w:rPr>
        <w:t xml:space="preserve"> como el oro y el petróleo de generar</w:t>
      </w:r>
      <w:r w:rsidR="00A4668F" w:rsidRPr="009A5801">
        <w:rPr>
          <w:rFonts w:ascii="Times New Roman" w:hAnsi="Times New Roman" w:cs="Times New Roman"/>
          <w:shd w:val="clear" w:color="auto" w:fill="FFFFFF"/>
          <w:lang w:val="es-CO"/>
        </w:rPr>
        <w:t xml:space="preserve"> muchos ingresos fiscales (al gravar las altas rentas del petróleo, minería y tierras), sin necesidad de subir impuestos a los </w:t>
      </w:r>
      <w:r w:rsidR="00A4668F" w:rsidRPr="009A5801">
        <w:rPr>
          <w:rFonts w:ascii="Times New Roman" w:hAnsi="Times New Roman" w:cs="Times New Roman"/>
          <w:shd w:val="clear" w:color="auto" w:fill="FFFFFF"/>
          <w:lang w:val="es-CO"/>
        </w:rPr>
        <w:lastRenderedPageBreak/>
        <w:t>ciudadanos</w:t>
      </w:r>
      <w:r w:rsidRPr="009A5801">
        <w:rPr>
          <w:rFonts w:ascii="Times New Roman" w:hAnsi="Times New Roman" w:cs="Times New Roman"/>
          <w:shd w:val="clear" w:color="auto" w:fill="FFFFFF"/>
          <w:lang w:val="es-CO"/>
        </w:rPr>
        <w:t>.</w:t>
      </w:r>
      <w:r w:rsidR="004E4892" w:rsidRPr="009A5801">
        <w:rPr>
          <w:rFonts w:ascii="Times New Roman" w:hAnsi="Times New Roman" w:cs="Times New Roman"/>
        </w:rPr>
        <w:t xml:space="preserve"> Cabe mencionar, en este caso la incidencia de los impuestos no recae sobre los consumidores (como es su objetivo) sino se constituye en una simple transferencia entre entidades públicas (Perry 1988). En </w:t>
      </w:r>
      <w:r w:rsidR="0058225C" w:rsidRPr="009A5801">
        <w:rPr>
          <w:rFonts w:ascii="Times New Roman" w:hAnsi="Times New Roman" w:cs="Times New Roman"/>
        </w:rPr>
        <w:t xml:space="preserve">resumen, </w:t>
      </w:r>
      <w:r w:rsidR="0058225C" w:rsidRPr="009A5801">
        <w:rPr>
          <w:rFonts w:ascii="Times New Roman" w:hAnsi="Times New Roman" w:cs="Times New Roman"/>
          <w:lang w:val="es-ES"/>
        </w:rPr>
        <w:t xml:space="preserve">no hay incentivos para implementar un sistema tributario con una alta base de grabado al consumidor, lo que de alguna manera permite que el Estado distribuya la renta sin ser dependiente a sus ciudadanos. </w:t>
      </w:r>
    </w:p>
    <w:p w:rsidR="002C1792" w:rsidRPr="009A5801" w:rsidRDefault="0058225C" w:rsidP="0058225C">
      <w:pPr>
        <w:rPr>
          <w:rFonts w:ascii="Times New Roman" w:hAnsi="Times New Roman" w:cs="Times New Roman"/>
          <w:shd w:val="clear" w:color="auto" w:fill="FFFFFF"/>
        </w:rPr>
      </w:pPr>
      <w:r w:rsidRPr="009A5801">
        <w:rPr>
          <w:rFonts w:ascii="Times New Roman" w:hAnsi="Times New Roman" w:cs="Times New Roman"/>
          <w:shd w:val="clear" w:color="auto" w:fill="FFFFFF"/>
        </w:rPr>
        <w:t>Otra consecuencia de la distribución de la autonomía tributaria ha sido la aparición del rent-seeking. Estos son sectores conformados por grupos de poder económico y político, que se las ingenian para capturar por diversas vías y mediante diversos mecanismos la renta petrolera, sea de forma directa o indirecta. Los mecanismos que utilizan les sirven para ejercer influencia en la promulgación y ejecución de regulaciones y leyes impositivas que favorezcan sus actividades económicas y financieras rentistas. También tienen influencia en el diseño e instrumentación de políticas fiscales, monetarias y cambiarias, abriendo un espacio para realizar actividades económicas espurias que, no teniendo mucho peso en la economía real, sí son efectivas para lograr una importante captura de la renta que permite la estabilidad del régimen actual a partir de la coop</w:t>
      </w:r>
      <w:r w:rsidR="00C76CCC" w:rsidRPr="009A5801">
        <w:rPr>
          <w:rFonts w:ascii="Times New Roman" w:hAnsi="Times New Roman" w:cs="Times New Roman"/>
          <w:shd w:val="clear" w:color="auto" w:fill="FFFFFF"/>
        </w:rPr>
        <w:t>tación de estos dividendos</w:t>
      </w:r>
      <w:r w:rsidRPr="009A5801">
        <w:rPr>
          <w:rFonts w:ascii="Times New Roman" w:hAnsi="Times New Roman" w:cs="Times New Roman"/>
          <w:shd w:val="clear" w:color="auto" w:fill="FFFFFF"/>
        </w:rPr>
        <w:t>.</w:t>
      </w:r>
    </w:p>
    <w:p w:rsidR="00A419BC" w:rsidRPr="009A5801" w:rsidRDefault="00C76CCC" w:rsidP="0058225C">
      <w:pPr>
        <w:rPr>
          <w:rFonts w:ascii="Times New Roman" w:hAnsi="Times New Roman" w:cs="Times New Roman"/>
          <w:lang w:val="es-ES"/>
        </w:rPr>
      </w:pPr>
      <w:r w:rsidRPr="009A5801">
        <w:rPr>
          <w:rFonts w:ascii="Times New Roman" w:hAnsi="Times New Roman" w:cs="Times New Roman"/>
          <w:shd w:val="clear" w:color="auto" w:fill="FFFFFF"/>
        </w:rPr>
        <w:t xml:space="preserve">Retomando lo anterior, el efecto cooptación que se deriva de las altas rentas petroleras y la consecuente autonomía fiscal, es un factor determinante que explica la estabilidad actual del régimen a pesar de los conflictos internos que se presentan actualmente en el país. </w:t>
      </w:r>
      <w:r w:rsidRPr="009A5801">
        <w:rPr>
          <w:rFonts w:ascii="Times New Roman" w:hAnsi="Times New Roman" w:cs="Times New Roman"/>
          <w:lang w:val="es-ES"/>
        </w:rPr>
        <w:t>este efecto</w:t>
      </w:r>
      <w:r w:rsidRPr="009A5801">
        <w:rPr>
          <w:rFonts w:ascii="Times New Roman" w:hAnsi="Times New Roman" w:cs="Times New Roman"/>
          <w:i/>
          <w:iCs/>
          <w:lang w:val="es-ES"/>
        </w:rPr>
        <w:t xml:space="preserve"> cooptación</w:t>
      </w:r>
      <w:r w:rsidRPr="009A5801">
        <w:rPr>
          <w:rFonts w:ascii="Times New Roman" w:hAnsi="Times New Roman" w:cs="Times New Roman"/>
          <w:lang w:val="es-ES"/>
        </w:rPr>
        <w:t xml:space="preserve"> sugiere que las ganancias petroleras incentivan al clientelismo, más claramente, a partir de los altos dividendos que genera el crudo, Nicolás Maduro mantiene la cohesión política</w:t>
      </w:r>
      <w:r w:rsidR="005219BF">
        <w:rPr>
          <w:rFonts w:ascii="Times New Roman" w:hAnsi="Times New Roman" w:cs="Times New Roman"/>
          <w:lang w:val="es-ES"/>
        </w:rPr>
        <w:t xml:space="preserve"> entre las é</w:t>
      </w:r>
      <w:r w:rsidRPr="009A5801">
        <w:rPr>
          <w:rFonts w:ascii="Times New Roman" w:hAnsi="Times New Roman" w:cs="Times New Roman"/>
          <w:lang w:val="es-ES"/>
        </w:rPr>
        <w:t xml:space="preserve">lites militares del país. En otras palabras, </w:t>
      </w:r>
      <w:r w:rsidR="005219BF">
        <w:rPr>
          <w:rFonts w:ascii="Times New Roman" w:hAnsi="Times New Roman" w:cs="Times New Roman"/>
          <w:lang w:val="es-ES"/>
        </w:rPr>
        <w:t>dichas é</w:t>
      </w:r>
      <w:r w:rsidRPr="009A5801">
        <w:rPr>
          <w:rFonts w:ascii="Times New Roman" w:hAnsi="Times New Roman" w:cs="Times New Roman"/>
          <w:lang w:val="es-ES"/>
        </w:rPr>
        <w:t xml:space="preserve">lites militares traducirían ese efecto cooptación en represión por coerción hacia la población, con la intensión de </w:t>
      </w:r>
      <w:r w:rsidR="00A419BC" w:rsidRPr="009A5801">
        <w:rPr>
          <w:rFonts w:ascii="Times New Roman" w:hAnsi="Times New Roman" w:cs="Times New Roman"/>
          <w:lang w:val="es-ES"/>
        </w:rPr>
        <w:t xml:space="preserve">controlar a las disidencias. </w:t>
      </w:r>
    </w:p>
    <w:p w:rsidR="00A419BC" w:rsidRPr="009A5801" w:rsidRDefault="00A419BC" w:rsidP="00A419BC">
      <w:pPr>
        <w:rPr>
          <w:rFonts w:ascii="Times New Roman" w:hAnsi="Times New Roman" w:cs="Times New Roman"/>
          <w:shd w:val="clear" w:color="auto" w:fill="FFFFFF"/>
        </w:rPr>
      </w:pPr>
      <w:r w:rsidRPr="009A5801">
        <w:rPr>
          <w:rFonts w:ascii="Times New Roman" w:hAnsi="Times New Roman" w:cs="Times New Roman"/>
          <w:lang w:val="es-ES"/>
        </w:rPr>
        <w:t>Ya para concluir, Nicolás</w:t>
      </w:r>
      <w:r w:rsidRPr="009A5801">
        <w:rPr>
          <w:rFonts w:ascii="Times New Roman" w:hAnsi="Times New Roman" w:cs="Times New Roman"/>
          <w:shd w:val="clear" w:color="auto" w:fill="FFFFFF"/>
        </w:rPr>
        <w:t xml:space="preserve"> Maduro, intenta complementar la economía venezolana dependiente a las rentas petroleras y agobiada por la hiperinflación (que probablemente sobrepasara el 2700 % en el 2017) en los recursos finitos del país, lo que profundiza enormemente la dependencia en el modelo rentista. el Arco Minero, no solo son una vuelta atrás al Estado rentista, sino también es una estrategia basada en especulación y asimetrías de información que probablemente hagan poco por combatir la actual turbulencia económica de Venezuela. Esto se debe a que la moneda nacional, el bolívar, continúa sufriendo hiperinflación, a pesar de que Venezuela tiene las reservas de petróleo más grandes del mundo y que aumenten los precios del petróleo, porque en términos netos para Venezuela, a pesar de que sube el precio, los ingresos son más bajos que el año anterior.</w:t>
      </w:r>
    </w:p>
    <w:p w:rsidR="009A5801" w:rsidRDefault="009A5801" w:rsidP="00A419BC">
      <w:pPr>
        <w:rPr>
          <w:rFonts w:ascii="Times New Roman" w:hAnsi="Times New Roman" w:cs="Times New Roman"/>
          <w:b/>
          <w:color w:val="292B2C"/>
          <w:shd w:val="clear" w:color="auto" w:fill="FFFFFF"/>
        </w:rPr>
      </w:pPr>
      <w:r w:rsidRPr="009A5801">
        <w:rPr>
          <w:rFonts w:ascii="Times New Roman" w:hAnsi="Times New Roman" w:cs="Times New Roman"/>
          <w:b/>
          <w:color w:val="292B2C"/>
          <w:shd w:val="clear" w:color="auto" w:fill="FFFFFF"/>
        </w:rPr>
        <w:t>Referencias</w:t>
      </w:r>
    </w:p>
    <w:p w:rsidR="009A5801" w:rsidRPr="009A5801" w:rsidRDefault="009A5801" w:rsidP="009A5801">
      <w:pPr>
        <w:pStyle w:val="Bibliografa"/>
        <w:tabs>
          <w:tab w:val="left" w:pos="1260"/>
        </w:tabs>
        <w:spacing w:after="160" w:line="259" w:lineRule="auto"/>
        <w:ind w:right="409"/>
        <w:jc w:val="both"/>
        <w:rPr>
          <w:rStyle w:val="Hipervnculo"/>
          <w:rFonts w:ascii="Times New Roman" w:hAnsi="Times New Roman"/>
          <w:iCs/>
          <w:noProof/>
          <w:color w:val="auto"/>
          <w:sz w:val="22"/>
          <w:szCs w:val="22"/>
          <w:lang w:val="es-ES"/>
        </w:rPr>
      </w:pPr>
      <w:r w:rsidRPr="009A5801">
        <w:rPr>
          <w:rFonts w:ascii="Times New Roman" w:hAnsi="Times New Roman"/>
          <w:noProof/>
          <w:sz w:val="22"/>
          <w:szCs w:val="22"/>
          <w:lang w:val="es-ES"/>
        </w:rPr>
        <w:t xml:space="preserve">José Darío Uribe (2012), “Importancia de la estabilidad macroeconómica para el crecimiento económico”, Nota editorial, </w:t>
      </w:r>
      <w:r w:rsidRPr="009A5801">
        <w:rPr>
          <w:rFonts w:ascii="Times New Roman" w:hAnsi="Times New Roman"/>
          <w:i/>
          <w:iCs/>
          <w:noProof/>
          <w:sz w:val="22"/>
          <w:szCs w:val="22"/>
          <w:lang w:val="es-ES"/>
        </w:rPr>
        <w:t>Revista del Banco de la República</w:t>
      </w:r>
      <w:r w:rsidRPr="009A5801">
        <w:rPr>
          <w:rFonts w:ascii="Times New Roman" w:hAnsi="Times New Roman"/>
          <w:iCs/>
          <w:noProof/>
          <w:sz w:val="22"/>
          <w:szCs w:val="22"/>
          <w:lang w:val="es-ES"/>
        </w:rPr>
        <w:t xml:space="preserve">, No. 1020, </w:t>
      </w:r>
      <w:hyperlink r:id="rId8" w:history="1">
        <w:r w:rsidRPr="009A5801">
          <w:rPr>
            <w:rStyle w:val="Hipervnculo"/>
            <w:rFonts w:ascii="Times New Roman" w:hAnsi="Times New Roman"/>
            <w:iCs/>
            <w:noProof/>
            <w:color w:val="auto"/>
            <w:sz w:val="22"/>
            <w:szCs w:val="22"/>
            <w:lang w:val="es-ES"/>
          </w:rPr>
          <w:t>http://www.banrep.gov.co/sites/default/files/publicaciones/archivos/rbr_nota_1020.pdf</w:t>
        </w:r>
      </w:hyperlink>
    </w:p>
    <w:p w:rsidR="009A5801" w:rsidRPr="009A5801" w:rsidRDefault="009A5801" w:rsidP="009A5801">
      <w:pPr>
        <w:rPr>
          <w:rFonts w:ascii="Times New Roman" w:hAnsi="Times New Roman" w:cs="Times New Roman"/>
          <w:lang w:val="es-ES" w:eastAsia="es-ES_tradnl"/>
        </w:rPr>
      </w:pPr>
      <w:r w:rsidRPr="009A5801">
        <w:rPr>
          <w:rFonts w:ascii="Times New Roman" w:hAnsi="Times New Roman" w:cs="Times New Roman"/>
          <w:lang w:val="es-ES" w:eastAsia="es-ES_tradnl"/>
        </w:rPr>
        <w:t xml:space="preserve">Guillermo Perry (1988) “el petróleo en la economía colombiana”, Nota editorial, </w:t>
      </w:r>
      <w:r w:rsidRPr="009A5801">
        <w:rPr>
          <w:rFonts w:ascii="Times New Roman" w:hAnsi="Times New Roman" w:cs="Times New Roman"/>
          <w:i/>
          <w:lang w:val="es-ES" w:eastAsia="es-ES_tradnl"/>
        </w:rPr>
        <w:t>Revista Coyuntura económica</w:t>
      </w:r>
      <w:r w:rsidRPr="009A5801">
        <w:rPr>
          <w:rFonts w:ascii="Times New Roman" w:hAnsi="Times New Roman" w:cs="Times New Roman"/>
          <w:lang w:val="es-ES" w:eastAsia="es-ES_tradnl"/>
        </w:rPr>
        <w:t xml:space="preserve">, marzo 1988. </w:t>
      </w:r>
      <w:hyperlink r:id="rId9" w:history="1">
        <w:r w:rsidRPr="009A5801">
          <w:rPr>
            <w:rStyle w:val="Hipervnculo"/>
            <w:rFonts w:ascii="Times New Roman" w:hAnsi="Times New Roman" w:cs="Times New Roman"/>
            <w:color w:val="auto"/>
            <w:lang w:val="es-ES" w:eastAsia="es-ES_tradnl"/>
          </w:rPr>
          <w:t>file:///C:/Users/Laura/Downloads/Co_Eco_Marzo_1988_Perry.pdf</w:t>
        </w:r>
      </w:hyperlink>
    </w:p>
    <w:p w:rsidR="009A5801" w:rsidRPr="009A5801" w:rsidRDefault="009A5801" w:rsidP="009A5801">
      <w:pPr>
        <w:rPr>
          <w:rFonts w:ascii="Times New Roman" w:hAnsi="Times New Roman" w:cs="Times New Roman"/>
          <w:lang w:val="es-ES" w:eastAsia="es-ES_tradnl"/>
        </w:rPr>
      </w:pPr>
      <w:r w:rsidRPr="009A5801">
        <w:rPr>
          <w:rFonts w:ascii="Times New Roman" w:hAnsi="Times New Roman" w:cs="Times New Roman"/>
          <w:sz w:val="21"/>
          <w:szCs w:val="21"/>
          <w:shd w:val="clear" w:color="auto" w:fill="FFFFFF"/>
        </w:rPr>
        <w:t>FMI (Fondo Monetario Internacional) (2017), “International Financial Statistics” [base de datos en línea], </w:t>
      </w:r>
      <w:hyperlink r:id="rId10" w:history="1">
        <w:r w:rsidRPr="009A5801">
          <w:rPr>
            <w:rStyle w:val="Hipervnculo"/>
            <w:rFonts w:ascii="Times New Roman" w:hAnsi="Times New Roman" w:cs="Times New Roman"/>
            <w:color w:val="auto"/>
            <w:sz w:val="21"/>
            <w:szCs w:val="21"/>
            <w:shd w:val="clear" w:color="auto" w:fill="FFFFFF"/>
          </w:rPr>
          <w:t>http://elibrary-data.imf.org/FindDataReports.aspx?d=33061&amp;e=169393</w:t>
        </w:r>
      </w:hyperlink>
      <w:r w:rsidRPr="009A5801">
        <w:rPr>
          <w:rFonts w:ascii="Times New Roman" w:hAnsi="Times New Roman" w:cs="Times New Roman"/>
          <w:sz w:val="21"/>
          <w:szCs w:val="21"/>
          <w:shd w:val="clear" w:color="auto" w:fill="FFFFFF"/>
        </w:rPr>
        <w:t> [fecha de consulta: marzo de 2017].</w:t>
      </w:r>
    </w:p>
    <w:p w:rsidR="009A5801" w:rsidRPr="009A5801" w:rsidRDefault="009A5801" w:rsidP="00A419BC">
      <w:pPr>
        <w:rPr>
          <w:rFonts w:ascii="Times New Roman" w:hAnsi="Times New Roman" w:cs="Times New Roman"/>
          <w:b/>
          <w:color w:val="333333"/>
          <w:shd w:val="clear" w:color="auto" w:fill="FFFFFF"/>
        </w:rPr>
      </w:pPr>
    </w:p>
    <w:p w:rsidR="00A419BC" w:rsidRPr="00A419BC" w:rsidRDefault="00A419BC" w:rsidP="0058225C">
      <w:pPr>
        <w:rPr>
          <w:rFonts w:ascii="Times New Roman" w:hAnsi="Times New Roman" w:cs="Times New Roman"/>
          <w:lang w:val="es-ES"/>
        </w:rPr>
      </w:pPr>
    </w:p>
    <w:p w:rsidR="002C1792" w:rsidRPr="0058225C" w:rsidRDefault="002C1792" w:rsidP="00A9107D">
      <w:pPr>
        <w:rPr>
          <w:rFonts w:ascii="Times New Roman" w:hAnsi="Times New Roman" w:cs="Times New Roman"/>
          <w:color w:val="292B2C"/>
          <w:shd w:val="clear" w:color="auto" w:fill="FFFFFF"/>
        </w:rPr>
      </w:pPr>
    </w:p>
    <w:p w:rsidR="00BD4F50" w:rsidRDefault="00BD4F50" w:rsidP="00A9107D">
      <w:pPr>
        <w:rPr>
          <w:rFonts w:ascii="Arial" w:hAnsi="Arial" w:cs="Arial"/>
          <w:color w:val="292B2C"/>
          <w:sz w:val="25"/>
          <w:szCs w:val="25"/>
          <w:shd w:val="clear" w:color="auto" w:fill="FFFFFF"/>
        </w:rPr>
      </w:pPr>
    </w:p>
    <w:p w:rsidR="00BD4F50" w:rsidRDefault="00BD4F50" w:rsidP="00A9107D">
      <w:pPr>
        <w:rPr>
          <w:rFonts w:ascii="Arial" w:hAnsi="Arial" w:cs="Arial"/>
          <w:color w:val="292B2C"/>
          <w:sz w:val="25"/>
          <w:szCs w:val="25"/>
          <w:shd w:val="clear" w:color="auto" w:fill="FFFFFF"/>
        </w:rPr>
      </w:pPr>
    </w:p>
    <w:p w:rsidR="00BD4F50" w:rsidRDefault="00BD4F50" w:rsidP="00A9107D">
      <w:pPr>
        <w:rPr>
          <w:rFonts w:ascii="Arial" w:hAnsi="Arial" w:cs="Arial"/>
          <w:color w:val="292B2C"/>
          <w:sz w:val="25"/>
          <w:szCs w:val="25"/>
          <w:shd w:val="clear" w:color="auto" w:fill="FFFFFF"/>
        </w:rPr>
      </w:pPr>
    </w:p>
    <w:p w:rsidR="00BD4F50" w:rsidRDefault="00BD4F50" w:rsidP="00A9107D">
      <w:pPr>
        <w:rPr>
          <w:rFonts w:ascii="Arial" w:hAnsi="Arial" w:cs="Arial"/>
          <w:color w:val="292B2C"/>
          <w:sz w:val="25"/>
          <w:szCs w:val="25"/>
          <w:shd w:val="clear" w:color="auto" w:fill="FFFFFF"/>
        </w:rPr>
      </w:pPr>
    </w:p>
    <w:p w:rsidR="003809FA" w:rsidRDefault="003809FA" w:rsidP="00874DE5">
      <w:pPr>
        <w:rPr>
          <w:rFonts w:ascii="Helvetica" w:hAnsi="Helvetica"/>
          <w:color w:val="333333"/>
          <w:sz w:val="21"/>
          <w:szCs w:val="21"/>
          <w:shd w:val="clear" w:color="auto" w:fill="FFFFFF"/>
        </w:rPr>
      </w:pPr>
    </w:p>
    <w:p w:rsidR="003809FA" w:rsidRDefault="003809FA" w:rsidP="00874DE5">
      <w:pPr>
        <w:rPr>
          <w:rFonts w:ascii="Helvetica" w:hAnsi="Helvetica"/>
          <w:color w:val="333333"/>
          <w:sz w:val="21"/>
          <w:szCs w:val="21"/>
          <w:shd w:val="clear" w:color="auto" w:fill="FFFFFF"/>
        </w:rPr>
      </w:pPr>
    </w:p>
    <w:p w:rsidR="003809FA" w:rsidRDefault="003809FA" w:rsidP="00874DE5">
      <w:pPr>
        <w:rPr>
          <w:rFonts w:ascii="Helvetica" w:hAnsi="Helvetica"/>
          <w:color w:val="333333"/>
          <w:sz w:val="21"/>
          <w:szCs w:val="21"/>
          <w:shd w:val="clear" w:color="auto" w:fill="FFFFFF"/>
        </w:rPr>
      </w:pPr>
    </w:p>
    <w:p w:rsidR="00674848" w:rsidRPr="00A9107D" w:rsidRDefault="00674848">
      <w:pPr>
        <w:rPr>
          <w:rFonts w:ascii="Helvetica" w:hAnsi="Helvetica"/>
          <w:color w:val="333333"/>
          <w:sz w:val="21"/>
          <w:szCs w:val="21"/>
          <w:shd w:val="clear" w:color="auto" w:fill="FFFFFF"/>
        </w:rPr>
      </w:pPr>
    </w:p>
    <w:sectPr w:rsidR="00674848" w:rsidRPr="00A9107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16A" w:rsidRDefault="000B616A" w:rsidP="007C64C6">
      <w:pPr>
        <w:spacing w:after="0" w:line="240" w:lineRule="auto"/>
      </w:pPr>
      <w:r>
        <w:separator/>
      </w:r>
    </w:p>
  </w:endnote>
  <w:endnote w:type="continuationSeparator" w:id="0">
    <w:p w:rsidR="000B616A" w:rsidRDefault="000B616A" w:rsidP="007C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16A" w:rsidRDefault="000B616A" w:rsidP="007C64C6">
      <w:pPr>
        <w:spacing w:after="0" w:line="240" w:lineRule="auto"/>
      </w:pPr>
      <w:r>
        <w:separator/>
      </w:r>
    </w:p>
  </w:footnote>
  <w:footnote w:type="continuationSeparator" w:id="0">
    <w:p w:rsidR="000B616A" w:rsidRDefault="000B616A" w:rsidP="007C6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B601E"/>
    <w:multiLevelType w:val="hybridMultilevel"/>
    <w:tmpl w:val="61CC32AA"/>
    <w:lvl w:ilvl="0" w:tplc="2AC4F06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F10708D"/>
    <w:multiLevelType w:val="multilevel"/>
    <w:tmpl w:val="4698B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A171E"/>
    <w:multiLevelType w:val="hybridMultilevel"/>
    <w:tmpl w:val="313AE64C"/>
    <w:lvl w:ilvl="0" w:tplc="895E456C">
      <w:start w:val="1"/>
      <w:numFmt w:val="bullet"/>
      <w:lvlText w:val="–"/>
      <w:lvlJc w:val="left"/>
      <w:pPr>
        <w:tabs>
          <w:tab w:val="num" w:pos="720"/>
        </w:tabs>
        <w:ind w:left="720" w:hanging="360"/>
      </w:pPr>
      <w:rPr>
        <w:rFonts w:ascii="Arial" w:hAnsi="Arial" w:hint="default"/>
      </w:rPr>
    </w:lvl>
    <w:lvl w:ilvl="1" w:tplc="92EE25DA">
      <w:start w:val="1"/>
      <w:numFmt w:val="bullet"/>
      <w:lvlText w:val="–"/>
      <w:lvlJc w:val="left"/>
      <w:pPr>
        <w:tabs>
          <w:tab w:val="num" w:pos="1440"/>
        </w:tabs>
        <w:ind w:left="1440" w:hanging="360"/>
      </w:pPr>
      <w:rPr>
        <w:rFonts w:ascii="Arial" w:hAnsi="Arial" w:hint="default"/>
      </w:rPr>
    </w:lvl>
    <w:lvl w:ilvl="2" w:tplc="8CB0E2DE" w:tentative="1">
      <w:start w:val="1"/>
      <w:numFmt w:val="bullet"/>
      <w:lvlText w:val="–"/>
      <w:lvlJc w:val="left"/>
      <w:pPr>
        <w:tabs>
          <w:tab w:val="num" w:pos="2160"/>
        </w:tabs>
        <w:ind w:left="2160" w:hanging="360"/>
      </w:pPr>
      <w:rPr>
        <w:rFonts w:ascii="Arial" w:hAnsi="Arial" w:hint="default"/>
      </w:rPr>
    </w:lvl>
    <w:lvl w:ilvl="3" w:tplc="FD207F96" w:tentative="1">
      <w:start w:val="1"/>
      <w:numFmt w:val="bullet"/>
      <w:lvlText w:val="–"/>
      <w:lvlJc w:val="left"/>
      <w:pPr>
        <w:tabs>
          <w:tab w:val="num" w:pos="2880"/>
        </w:tabs>
        <w:ind w:left="2880" w:hanging="360"/>
      </w:pPr>
      <w:rPr>
        <w:rFonts w:ascii="Arial" w:hAnsi="Arial" w:hint="default"/>
      </w:rPr>
    </w:lvl>
    <w:lvl w:ilvl="4" w:tplc="27648C7A" w:tentative="1">
      <w:start w:val="1"/>
      <w:numFmt w:val="bullet"/>
      <w:lvlText w:val="–"/>
      <w:lvlJc w:val="left"/>
      <w:pPr>
        <w:tabs>
          <w:tab w:val="num" w:pos="3600"/>
        </w:tabs>
        <w:ind w:left="3600" w:hanging="360"/>
      </w:pPr>
      <w:rPr>
        <w:rFonts w:ascii="Arial" w:hAnsi="Arial" w:hint="default"/>
      </w:rPr>
    </w:lvl>
    <w:lvl w:ilvl="5" w:tplc="A956CC80" w:tentative="1">
      <w:start w:val="1"/>
      <w:numFmt w:val="bullet"/>
      <w:lvlText w:val="–"/>
      <w:lvlJc w:val="left"/>
      <w:pPr>
        <w:tabs>
          <w:tab w:val="num" w:pos="4320"/>
        </w:tabs>
        <w:ind w:left="4320" w:hanging="360"/>
      </w:pPr>
      <w:rPr>
        <w:rFonts w:ascii="Arial" w:hAnsi="Arial" w:hint="default"/>
      </w:rPr>
    </w:lvl>
    <w:lvl w:ilvl="6" w:tplc="BFF6D2EE" w:tentative="1">
      <w:start w:val="1"/>
      <w:numFmt w:val="bullet"/>
      <w:lvlText w:val="–"/>
      <w:lvlJc w:val="left"/>
      <w:pPr>
        <w:tabs>
          <w:tab w:val="num" w:pos="5040"/>
        </w:tabs>
        <w:ind w:left="5040" w:hanging="360"/>
      </w:pPr>
      <w:rPr>
        <w:rFonts w:ascii="Arial" w:hAnsi="Arial" w:hint="default"/>
      </w:rPr>
    </w:lvl>
    <w:lvl w:ilvl="7" w:tplc="ADCE44B2" w:tentative="1">
      <w:start w:val="1"/>
      <w:numFmt w:val="bullet"/>
      <w:lvlText w:val="–"/>
      <w:lvlJc w:val="left"/>
      <w:pPr>
        <w:tabs>
          <w:tab w:val="num" w:pos="5760"/>
        </w:tabs>
        <w:ind w:left="5760" w:hanging="360"/>
      </w:pPr>
      <w:rPr>
        <w:rFonts w:ascii="Arial" w:hAnsi="Arial" w:hint="default"/>
      </w:rPr>
    </w:lvl>
    <w:lvl w:ilvl="8" w:tplc="B6AA21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A6595B"/>
    <w:multiLevelType w:val="multilevel"/>
    <w:tmpl w:val="84C2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F7"/>
    <w:rsid w:val="0004140C"/>
    <w:rsid w:val="000A6C0B"/>
    <w:rsid w:val="000B616A"/>
    <w:rsid w:val="000E44F7"/>
    <w:rsid w:val="002C1792"/>
    <w:rsid w:val="003809FA"/>
    <w:rsid w:val="003F741B"/>
    <w:rsid w:val="004459A8"/>
    <w:rsid w:val="004E4892"/>
    <w:rsid w:val="005219BF"/>
    <w:rsid w:val="0058225C"/>
    <w:rsid w:val="00674848"/>
    <w:rsid w:val="007C64C6"/>
    <w:rsid w:val="00825D17"/>
    <w:rsid w:val="00874DE5"/>
    <w:rsid w:val="008B3E2E"/>
    <w:rsid w:val="00911864"/>
    <w:rsid w:val="009542E1"/>
    <w:rsid w:val="009A5801"/>
    <w:rsid w:val="009F7FDC"/>
    <w:rsid w:val="00A419BC"/>
    <w:rsid w:val="00A4668F"/>
    <w:rsid w:val="00A9107D"/>
    <w:rsid w:val="00AA5F31"/>
    <w:rsid w:val="00AF40D7"/>
    <w:rsid w:val="00B53231"/>
    <w:rsid w:val="00BD4F50"/>
    <w:rsid w:val="00C06965"/>
    <w:rsid w:val="00C76CCC"/>
    <w:rsid w:val="00CA08FC"/>
    <w:rsid w:val="00D85FC9"/>
    <w:rsid w:val="00E34A11"/>
    <w:rsid w:val="00F11A1A"/>
    <w:rsid w:val="00F13941"/>
    <w:rsid w:val="00F348DB"/>
    <w:rsid w:val="00F70B43"/>
    <w:rsid w:val="00FF6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D5793-55F5-4ED2-82BD-AAA2FFBD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4F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06965"/>
    <w:rPr>
      <w:i/>
      <w:iCs/>
    </w:rPr>
  </w:style>
  <w:style w:type="paragraph" w:styleId="NormalWeb">
    <w:name w:val="Normal (Web)"/>
    <w:basedOn w:val="Normal"/>
    <w:uiPriority w:val="99"/>
    <w:semiHidden/>
    <w:unhideWhenUsed/>
    <w:rsid w:val="00D85FC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3809FA"/>
    <w:rPr>
      <w:color w:val="0000FF"/>
      <w:u w:val="single"/>
    </w:rPr>
  </w:style>
  <w:style w:type="paragraph" w:styleId="Encabezado">
    <w:name w:val="header"/>
    <w:basedOn w:val="Normal"/>
    <w:link w:val="EncabezadoCar"/>
    <w:uiPriority w:val="99"/>
    <w:unhideWhenUsed/>
    <w:rsid w:val="007C6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64C6"/>
  </w:style>
  <w:style w:type="paragraph" w:styleId="Piedepgina">
    <w:name w:val="footer"/>
    <w:basedOn w:val="Normal"/>
    <w:link w:val="PiedepginaCar"/>
    <w:uiPriority w:val="99"/>
    <w:unhideWhenUsed/>
    <w:rsid w:val="007C6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64C6"/>
  </w:style>
  <w:style w:type="character" w:customStyle="1" w:styleId="span-rojo">
    <w:name w:val="span-rojo"/>
    <w:basedOn w:val="Fuentedeprrafopredeter"/>
    <w:rsid w:val="002C1792"/>
  </w:style>
  <w:style w:type="paragraph" w:styleId="Prrafodelista">
    <w:name w:val="List Paragraph"/>
    <w:basedOn w:val="Normal"/>
    <w:uiPriority w:val="34"/>
    <w:qFormat/>
    <w:rsid w:val="000A6C0B"/>
    <w:pPr>
      <w:spacing w:after="0" w:line="240" w:lineRule="auto"/>
      <w:ind w:left="720"/>
      <w:contextualSpacing/>
    </w:pPr>
    <w:rPr>
      <w:rFonts w:ascii="Times New Roman" w:eastAsia="Times New Roman" w:hAnsi="Times New Roman" w:cs="Times New Roman"/>
      <w:sz w:val="24"/>
      <w:szCs w:val="24"/>
      <w:lang w:eastAsia="es-MX"/>
    </w:rPr>
  </w:style>
  <w:style w:type="paragraph" w:styleId="Bibliografa">
    <w:name w:val="Bibliography"/>
    <w:basedOn w:val="Normal"/>
    <w:next w:val="Normal"/>
    <w:uiPriority w:val="37"/>
    <w:unhideWhenUsed/>
    <w:rsid w:val="009A5801"/>
    <w:pPr>
      <w:spacing w:after="0" w:line="240" w:lineRule="auto"/>
    </w:pPr>
    <w:rPr>
      <w:rFonts w:ascii="Times" w:eastAsia="Times" w:hAnsi="Times" w:cs="Times New Roman"/>
      <w:sz w:val="24"/>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1547">
      <w:bodyDiv w:val="1"/>
      <w:marLeft w:val="0"/>
      <w:marRight w:val="0"/>
      <w:marTop w:val="0"/>
      <w:marBottom w:val="0"/>
      <w:divBdr>
        <w:top w:val="none" w:sz="0" w:space="0" w:color="auto"/>
        <w:left w:val="none" w:sz="0" w:space="0" w:color="auto"/>
        <w:bottom w:val="none" w:sz="0" w:space="0" w:color="auto"/>
        <w:right w:val="none" w:sz="0" w:space="0" w:color="auto"/>
      </w:divBdr>
    </w:div>
    <w:div w:id="357121131">
      <w:bodyDiv w:val="1"/>
      <w:marLeft w:val="0"/>
      <w:marRight w:val="0"/>
      <w:marTop w:val="0"/>
      <w:marBottom w:val="0"/>
      <w:divBdr>
        <w:top w:val="none" w:sz="0" w:space="0" w:color="auto"/>
        <w:left w:val="none" w:sz="0" w:space="0" w:color="auto"/>
        <w:bottom w:val="none" w:sz="0" w:space="0" w:color="auto"/>
        <w:right w:val="none" w:sz="0" w:space="0" w:color="auto"/>
      </w:divBdr>
    </w:div>
    <w:div w:id="727340823">
      <w:bodyDiv w:val="1"/>
      <w:marLeft w:val="0"/>
      <w:marRight w:val="0"/>
      <w:marTop w:val="0"/>
      <w:marBottom w:val="0"/>
      <w:divBdr>
        <w:top w:val="none" w:sz="0" w:space="0" w:color="auto"/>
        <w:left w:val="none" w:sz="0" w:space="0" w:color="auto"/>
        <w:bottom w:val="none" w:sz="0" w:space="0" w:color="auto"/>
        <w:right w:val="none" w:sz="0" w:space="0" w:color="auto"/>
      </w:divBdr>
      <w:divsChild>
        <w:div w:id="2090499559">
          <w:marLeft w:val="1440"/>
          <w:marRight w:val="0"/>
          <w:marTop w:val="115"/>
          <w:marBottom w:val="0"/>
          <w:divBdr>
            <w:top w:val="none" w:sz="0" w:space="0" w:color="auto"/>
            <w:left w:val="none" w:sz="0" w:space="0" w:color="auto"/>
            <w:bottom w:val="none" w:sz="0" w:space="0" w:color="auto"/>
            <w:right w:val="none" w:sz="0" w:space="0" w:color="auto"/>
          </w:divBdr>
        </w:div>
      </w:divsChild>
    </w:div>
    <w:div w:id="1273975953">
      <w:bodyDiv w:val="1"/>
      <w:marLeft w:val="0"/>
      <w:marRight w:val="0"/>
      <w:marTop w:val="0"/>
      <w:marBottom w:val="0"/>
      <w:divBdr>
        <w:top w:val="none" w:sz="0" w:space="0" w:color="auto"/>
        <w:left w:val="none" w:sz="0" w:space="0" w:color="auto"/>
        <w:bottom w:val="none" w:sz="0" w:space="0" w:color="auto"/>
        <w:right w:val="none" w:sz="0" w:space="0" w:color="auto"/>
      </w:divBdr>
    </w:div>
    <w:div w:id="1858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rep.gov.co/sites/default/files/publicaciones/archivos/rbr_nota_1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library-data.imf.org/FindDataReports.aspx?d=33061&amp;e=169393" TargetMode="External"/><Relationship Id="rId4" Type="http://schemas.openxmlformats.org/officeDocument/2006/relationships/settings" Target="settings.xml"/><Relationship Id="rId9" Type="http://schemas.openxmlformats.org/officeDocument/2006/relationships/hyperlink" Target="file:///C:/Users/Laura/Downloads/Co_Eco_Marzo_1988_Perry.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EA6C1-EDC9-4442-A432-C3E029AB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6843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guevara</dc:creator>
  <cp:keywords/>
  <dc:description/>
  <cp:lastModifiedBy>Daniela  Moreno Martinez</cp:lastModifiedBy>
  <cp:revision>2</cp:revision>
  <dcterms:created xsi:type="dcterms:W3CDTF">2019-04-10T16:37:00Z</dcterms:created>
  <dcterms:modified xsi:type="dcterms:W3CDTF">2019-04-10T16:37:00Z</dcterms:modified>
</cp:coreProperties>
</file>